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0DBA" w14:textId="77777777" w:rsidR="000F22E2" w:rsidRPr="000F22E2" w:rsidRDefault="000F22E2" w:rsidP="000F22E2"/>
    <w:p w14:paraId="77F46B5D" w14:textId="77777777" w:rsidR="000F22E2" w:rsidRDefault="000F22E2" w:rsidP="000F22E2">
      <w:pPr>
        <w:jc w:val="center"/>
      </w:pPr>
      <w:bookmarkStart w:id="0" w:name="_GoBack"/>
      <w:r w:rsidRPr="000F22E2">
        <w:t>Cours</w:t>
      </w:r>
    </w:p>
    <w:p w14:paraId="38AF240B" w14:textId="40B5D22D" w:rsidR="00A973E1" w:rsidRDefault="00A973E1" w:rsidP="000F22E2">
      <w:pPr>
        <w:jc w:val="center"/>
      </w:pPr>
      <w:r>
        <w:t xml:space="preserve">2019-2020 </w:t>
      </w:r>
    </w:p>
    <w:p w14:paraId="1A4CCC76" w14:textId="77777777" w:rsidR="00A973E1" w:rsidRDefault="00A973E1" w:rsidP="000F22E2">
      <w:pPr>
        <w:jc w:val="center"/>
      </w:pPr>
    </w:p>
    <w:p w14:paraId="76C7C3F8" w14:textId="77777777" w:rsidR="0091325E" w:rsidRDefault="0091325E" w:rsidP="000F22E2">
      <w:pPr>
        <w:jc w:val="center"/>
      </w:pPr>
    </w:p>
    <w:p w14:paraId="68B60497" w14:textId="77777777" w:rsidR="0091325E" w:rsidRDefault="0091325E" w:rsidP="000F22E2">
      <w:pPr>
        <w:jc w:val="center"/>
      </w:pPr>
      <w:r>
        <w:t xml:space="preserve">Droit de la santé et personnes vulnérables </w:t>
      </w:r>
    </w:p>
    <w:p w14:paraId="29DB0CAB" w14:textId="77777777" w:rsidR="0091325E" w:rsidRDefault="0091325E" w:rsidP="000F22E2">
      <w:pPr>
        <w:jc w:val="center"/>
      </w:pPr>
      <w:r>
        <w:t xml:space="preserve">Caroline </w:t>
      </w:r>
      <w:proofErr w:type="spellStart"/>
      <w:r>
        <w:t>Siffren</w:t>
      </w:r>
      <w:proofErr w:type="spellEnd"/>
      <w:r>
        <w:t xml:space="preserve">-Blanc / Laurent </w:t>
      </w:r>
      <w:proofErr w:type="spellStart"/>
      <w:r>
        <w:t>Sermet</w:t>
      </w:r>
      <w:proofErr w:type="spellEnd"/>
      <w:r>
        <w:t xml:space="preserve"> </w:t>
      </w:r>
    </w:p>
    <w:p w14:paraId="5381C09B" w14:textId="77777777" w:rsidR="000F22E2" w:rsidRDefault="000F22E2" w:rsidP="000F22E2">
      <w:pPr>
        <w:jc w:val="center"/>
      </w:pPr>
    </w:p>
    <w:p w14:paraId="33C6D4E6" w14:textId="0F4C829E" w:rsidR="0091325E" w:rsidRDefault="00A973E1" w:rsidP="000F22E2">
      <w:pPr>
        <w:jc w:val="center"/>
      </w:pPr>
      <w:r>
        <w:t xml:space="preserve">Aix-Marseille Université </w:t>
      </w:r>
    </w:p>
    <w:bookmarkEnd w:id="0"/>
    <w:p w14:paraId="6DE2462E" w14:textId="77777777" w:rsidR="0091325E" w:rsidRPr="000F22E2" w:rsidRDefault="0091325E" w:rsidP="000F22E2">
      <w:pPr>
        <w:jc w:val="center"/>
      </w:pPr>
    </w:p>
    <w:p w14:paraId="1CAB4F9E" w14:textId="77777777" w:rsidR="000F22E2" w:rsidRPr="000F22E2" w:rsidRDefault="007C3D9F" w:rsidP="000F22E2">
      <w:pPr>
        <w:jc w:val="both"/>
        <w:rPr>
          <w:rFonts w:eastAsiaTheme="minorEastAsia"/>
        </w:rPr>
      </w:pPr>
      <w:r w:rsidRPr="000F22E2">
        <w:rPr>
          <w:rFonts w:ascii="Garamond" w:hAnsi="Garamond"/>
          <w:b/>
          <w:bCs/>
          <w:noProof/>
          <w:sz w:val="20"/>
          <w:szCs w:val="20"/>
        </w:rPr>
        <w:fldChar w:fldCharType="begin"/>
      </w:r>
      <w:r w:rsidRPr="000F22E2">
        <w:instrText xml:space="preserve"> TOC \o "1-4" \n \u </w:instrText>
      </w:r>
      <w:r w:rsidRPr="000F22E2">
        <w:rPr>
          <w:rFonts w:ascii="Garamond" w:hAnsi="Garamond"/>
          <w:b/>
          <w:bCs/>
          <w:noProof/>
          <w:sz w:val="20"/>
          <w:szCs w:val="20"/>
        </w:rPr>
        <w:fldChar w:fldCharType="separate"/>
      </w:r>
      <w:r w:rsidRPr="000F22E2">
        <w:t xml:space="preserve"> </w:t>
      </w:r>
    </w:p>
    <w:p w14:paraId="731A3271" w14:textId="77777777" w:rsidR="000F22E2" w:rsidRDefault="000F22E2" w:rsidP="000F22E2">
      <w:pPr>
        <w:jc w:val="both"/>
        <w:rPr>
          <w:rFonts w:eastAsiaTheme="minorEastAsia"/>
        </w:rPr>
      </w:pPr>
    </w:p>
    <w:p w14:paraId="4F0E1548" w14:textId="77777777" w:rsidR="000F22E2" w:rsidRDefault="000F22E2" w:rsidP="000F22E2">
      <w:pPr>
        <w:jc w:val="both"/>
        <w:rPr>
          <w:rFonts w:eastAsiaTheme="minorEastAsia"/>
        </w:rPr>
      </w:pPr>
    </w:p>
    <w:p w14:paraId="6A534B49" w14:textId="77777777" w:rsidR="000F22E2" w:rsidRPr="000F22E2" w:rsidRDefault="000F22E2" w:rsidP="000F22E2">
      <w:pPr>
        <w:jc w:val="both"/>
        <w:rPr>
          <w:rFonts w:eastAsiaTheme="minorEastAsia"/>
        </w:rPr>
      </w:pPr>
    </w:p>
    <w:p w14:paraId="187C3173" w14:textId="77777777" w:rsidR="000F22E2" w:rsidRPr="0091325E" w:rsidRDefault="000F22E2" w:rsidP="000F22E2">
      <w:pPr>
        <w:jc w:val="both"/>
        <w:rPr>
          <w:b/>
        </w:rPr>
      </w:pPr>
      <w:r w:rsidRPr="0091325E">
        <w:rPr>
          <w:b/>
        </w:rPr>
        <w:t>Partie I  - Droit de la santé et personne vulnérable</w:t>
      </w:r>
    </w:p>
    <w:p w14:paraId="6F81BAE7" w14:textId="77777777" w:rsidR="000F22E2" w:rsidRPr="000F22E2" w:rsidRDefault="000F22E2" w:rsidP="000F22E2">
      <w:pPr>
        <w:jc w:val="both"/>
      </w:pPr>
    </w:p>
    <w:p w14:paraId="5EEC1D9D" w14:textId="77777777" w:rsidR="007C3D9F" w:rsidRPr="000F22E2" w:rsidRDefault="007C3D9F" w:rsidP="000F22E2">
      <w:pPr>
        <w:jc w:val="both"/>
        <w:rPr>
          <w:rFonts w:asciiTheme="minorHAnsi" w:eastAsiaTheme="minorEastAsia" w:hAnsiTheme="minorHAnsi" w:cstheme="minorBidi"/>
          <w:b/>
          <w:i/>
          <w:iCs/>
        </w:rPr>
      </w:pPr>
      <w:r w:rsidRPr="000F22E2">
        <w:t>Introduction</w:t>
      </w:r>
    </w:p>
    <w:p w14:paraId="2338E6E1" w14:textId="77777777" w:rsidR="0091325E" w:rsidRDefault="0091325E" w:rsidP="000F22E2">
      <w:pPr>
        <w:jc w:val="both"/>
        <w:rPr>
          <w:rFonts w:eastAsia="Arial"/>
          <w:caps/>
        </w:rPr>
      </w:pPr>
    </w:p>
    <w:p w14:paraId="58FE0D38" w14:textId="77777777" w:rsidR="007C3D9F" w:rsidRPr="000F22E2" w:rsidRDefault="007C3D9F" w:rsidP="000F22E2">
      <w:pPr>
        <w:jc w:val="both"/>
        <w:rPr>
          <w:rFonts w:asciiTheme="minorHAnsi" w:eastAsiaTheme="minorEastAsia" w:hAnsiTheme="minorHAnsi" w:cstheme="minorBidi"/>
          <w:b/>
          <w:i/>
          <w:iCs/>
        </w:rPr>
      </w:pPr>
      <w:r w:rsidRPr="000F22E2">
        <w:rPr>
          <w:rFonts w:eastAsia="Arial"/>
          <w:caps/>
        </w:rPr>
        <w:t>Leçon 1.</w:t>
      </w:r>
      <w:r w:rsidRPr="000F22E2">
        <w:rPr>
          <w:rFonts w:asciiTheme="minorHAnsi" w:eastAsiaTheme="minorEastAsia" w:hAnsiTheme="minorHAnsi" w:cstheme="minorBidi"/>
        </w:rPr>
        <w:tab/>
      </w:r>
      <w:r w:rsidRPr="000F22E2">
        <w:t>Le droit de la santé et vulnérabilité de l’enfant</w:t>
      </w:r>
    </w:p>
    <w:p w14:paraId="254E0220" w14:textId="77777777" w:rsidR="007C3D9F" w:rsidRPr="000F22E2" w:rsidRDefault="007C3D9F" w:rsidP="000F22E2">
      <w:pPr>
        <w:jc w:val="both"/>
        <w:rPr>
          <w:rFonts w:asciiTheme="minorHAnsi" w:eastAsiaTheme="minorEastAsia" w:hAnsiTheme="minorHAnsi" w:cstheme="minorBidi"/>
          <w:b/>
        </w:rPr>
      </w:pPr>
      <w:r w:rsidRPr="000F22E2">
        <w:rPr>
          <w:caps/>
        </w:rPr>
        <w:t>Section 1.</w:t>
      </w:r>
      <w:r w:rsidRPr="000F22E2">
        <w:rPr>
          <w:rFonts w:asciiTheme="minorHAnsi" w:eastAsiaTheme="minorEastAsia" w:hAnsiTheme="minorHAnsi" w:cstheme="minorBidi"/>
        </w:rPr>
        <w:tab/>
      </w:r>
      <w:r w:rsidRPr="000F22E2">
        <w:t>Les titulaires du droit de décider des questions relative</w:t>
      </w:r>
      <w:r w:rsidR="000B188A" w:rsidRPr="000F22E2">
        <w:t>s</w:t>
      </w:r>
      <w:r w:rsidRPr="000F22E2">
        <w:t xml:space="preserve"> à la santé de l’enfant</w:t>
      </w:r>
    </w:p>
    <w:p w14:paraId="3CB444DD" w14:textId="77777777" w:rsidR="007C3D9F" w:rsidRPr="000F22E2" w:rsidRDefault="007C3D9F" w:rsidP="000F22E2">
      <w:pPr>
        <w:jc w:val="both"/>
        <w:rPr>
          <w:rFonts w:asciiTheme="minorHAnsi" w:eastAsiaTheme="minorEastAsia" w:hAnsiTheme="minorHAnsi" w:cstheme="minorBidi"/>
          <w:b/>
        </w:rPr>
      </w:pPr>
      <w:r w:rsidRPr="000F22E2">
        <w:rPr>
          <w:caps/>
        </w:rPr>
        <w:t>Section 2.</w:t>
      </w:r>
      <w:r w:rsidRPr="000F22E2">
        <w:rPr>
          <w:rFonts w:asciiTheme="minorHAnsi" w:eastAsiaTheme="minorEastAsia" w:hAnsiTheme="minorHAnsi" w:cstheme="minorBidi"/>
        </w:rPr>
        <w:tab/>
      </w:r>
      <w:r w:rsidRPr="000F22E2">
        <w:t>L’exercice de l’autorité parentale relativement à la santé de l’enfant</w:t>
      </w:r>
    </w:p>
    <w:p w14:paraId="6AC2B7D0" w14:textId="77777777" w:rsidR="0091325E" w:rsidRDefault="0091325E" w:rsidP="000F22E2">
      <w:pPr>
        <w:jc w:val="both"/>
        <w:rPr>
          <w:caps/>
        </w:rPr>
      </w:pPr>
    </w:p>
    <w:p w14:paraId="4B12851F" w14:textId="77777777" w:rsidR="007C3D9F" w:rsidRPr="000F22E2" w:rsidRDefault="007C3D9F" w:rsidP="000F22E2">
      <w:pPr>
        <w:jc w:val="both"/>
        <w:rPr>
          <w:rFonts w:asciiTheme="minorHAnsi" w:eastAsiaTheme="minorEastAsia" w:hAnsiTheme="minorHAnsi" w:cstheme="minorBidi"/>
          <w:b/>
          <w:i/>
          <w:iCs/>
        </w:rPr>
      </w:pPr>
      <w:r w:rsidRPr="000F22E2">
        <w:rPr>
          <w:caps/>
        </w:rPr>
        <w:t>Leçon 2.</w:t>
      </w:r>
      <w:r w:rsidRPr="000F22E2">
        <w:rPr>
          <w:rFonts w:asciiTheme="minorHAnsi" w:eastAsiaTheme="minorEastAsia" w:hAnsiTheme="minorHAnsi" w:cstheme="minorBidi"/>
        </w:rPr>
        <w:tab/>
      </w:r>
      <w:r w:rsidRPr="000F22E2">
        <w:t>Le droit de la santé et majeurs protégés</w:t>
      </w:r>
    </w:p>
    <w:p w14:paraId="2089D8F2" w14:textId="77777777" w:rsidR="007C3D9F" w:rsidRPr="000F22E2" w:rsidRDefault="007C3D9F" w:rsidP="000F22E2">
      <w:pPr>
        <w:jc w:val="both"/>
        <w:rPr>
          <w:rFonts w:asciiTheme="minorHAnsi" w:eastAsiaTheme="minorEastAsia" w:hAnsiTheme="minorHAnsi" w:cstheme="minorBidi"/>
          <w:b/>
        </w:rPr>
      </w:pPr>
      <w:r w:rsidRPr="000F22E2">
        <w:rPr>
          <w:caps/>
        </w:rPr>
        <w:t>Section 1.</w:t>
      </w:r>
      <w:r w:rsidRPr="000F22E2">
        <w:rPr>
          <w:rFonts w:asciiTheme="minorHAnsi" w:eastAsiaTheme="minorEastAsia" w:hAnsiTheme="minorHAnsi" w:cstheme="minorBidi"/>
        </w:rPr>
        <w:tab/>
      </w:r>
      <w:r w:rsidRPr="000F22E2">
        <w:t>La place de la santé dans l’ouverture d’une mesure du médecin dans la mise en place d’une mesure de protection</w:t>
      </w:r>
    </w:p>
    <w:p w14:paraId="635477DB" w14:textId="77777777" w:rsidR="007C3D9F" w:rsidRPr="000F22E2" w:rsidRDefault="007C3D9F" w:rsidP="000F22E2">
      <w:pPr>
        <w:jc w:val="both"/>
        <w:rPr>
          <w:rFonts w:asciiTheme="minorHAnsi" w:eastAsiaTheme="minorEastAsia" w:hAnsiTheme="minorHAnsi" w:cstheme="minorBidi"/>
          <w:b/>
        </w:rPr>
      </w:pPr>
      <w:r w:rsidRPr="000F22E2">
        <w:rPr>
          <w:caps/>
        </w:rPr>
        <w:t>Section 2.</w:t>
      </w:r>
      <w:r w:rsidRPr="000F22E2">
        <w:rPr>
          <w:rFonts w:asciiTheme="minorHAnsi" w:eastAsiaTheme="minorEastAsia" w:hAnsiTheme="minorHAnsi" w:cstheme="minorBidi"/>
        </w:rPr>
        <w:tab/>
      </w:r>
      <w:r w:rsidRPr="000F22E2">
        <w:t>La mesure et la décision de santé</w:t>
      </w:r>
    </w:p>
    <w:p w14:paraId="3A86F263" w14:textId="77777777" w:rsidR="00CD3DC8" w:rsidRPr="000F22E2" w:rsidRDefault="007C3D9F" w:rsidP="000F22E2">
      <w:pPr>
        <w:jc w:val="both"/>
      </w:pPr>
      <w:r w:rsidRPr="000F22E2">
        <w:fldChar w:fldCharType="end"/>
      </w:r>
    </w:p>
    <w:p w14:paraId="660D9408" w14:textId="77777777" w:rsidR="000F22E2" w:rsidRPr="000F22E2" w:rsidRDefault="000F22E2" w:rsidP="000F22E2"/>
    <w:p w14:paraId="31F4EF78" w14:textId="77777777" w:rsidR="000F22E2" w:rsidRPr="000F22E2" w:rsidRDefault="000F22E2" w:rsidP="000F22E2"/>
    <w:p w14:paraId="1C938C0A" w14:textId="77777777" w:rsidR="000F22E2" w:rsidRPr="0091325E" w:rsidRDefault="000F22E2" w:rsidP="000F22E2">
      <w:pPr>
        <w:rPr>
          <w:b/>
        </w:rPr>
      </w:pPr>
      <w:r w:rsidRPr="0091325E">
        <w:rPr>
          <w:b/>
        </w:rPr>
        <w:t xml:space="preserve">Partie II – </w:t>
      </w:r>
      <w:r w:rsidR="00F02BAB" w:rsidRPr="0091325E">
        <w:rPr>
          <w:b/>
        </w:rPr>
        <w:t>L</w:t>
      </w:r>
      <w:r w:rsidRPr="0091325E">
        <w:rPr>
          <w:b/>
        </w:rPr>
        <w:t xml:space="preserve">es droits des personnes handicapées </w:t>
      </w:r>
    </w:p>
    <w:p w14:paraId="63700D02" w14:textId="77777777" w:rsidR="000F22E2" w:rsidRDefault="000F22E2" w:rsidP="000F22E2"/>
    <w:p w14:paraId="5CAFFA77" w14:textId="77777777" w:rsidR="000F22E2" w:rsidRDefault="000F22E2" w:rsidP="000F22E2"/>
    <w:p w14:paraId="662880EB" w14:textId="77777777" w:rsidR="000F22E2" w:rsidRDefault="000F22E2" w:rsidP="000F22E2">
      <w:r>
        <w:t>1 – La protection internationale des droits de l’homme : origine, développements et mécanismes</w:t>
      </w:r>
    </w:p>
    <w:p w14:paraId="3AE6A178" w14:textId="77777777" w:rsidR="000F22E2" w:rsidRDefault="000F22E2" w:rsidP="000F22E2"/>
    <w:p w14:paraId="3CCD5A3A" w14:textId="77777777" w:rsidR="000F22E2" w:rsidRDefault="000F22E2" w:rsidP="000F22E2">
      <w:r>
        <w:t xml:space="preserve">2 – Les raisons </w:t>
      </w:r>
      <w:r w:rsidR="00F02BAB">
        <w:t>de la Convention des Nations unies sur les d</w:t>
      </w:r>
      <w:r w:rsidR="00F02BAB" w:rsidRPr="000F22E2">
        <w:t xml:space="preserve">roits des personnes handicapées </w:t>
      </w:r>
    </w:p>
    <w:p w14:paraId="2D0B308C" w14:textId="77777777" w:rsidR="000F22E2" w:rsidRDefault="000F22E2" w:rsidP="000F22E2"/>
    <w:p w14:paraId="21523DA8" w14:textId="77777777" w:rsidR="000F22E2" w:rsidRDefault="000F22E2" w:rsidP="000F22E2">
      <w:r>
        <w:t xml:space="preserve">3 – </w:t>
      </w:r>
      <w:r w:rsidR="00F02BAB">
        <w:t>La Convention des Nations unies sur les d</w:t>
      </w:r>
      <w:r w:rsidR="00F02BAB" w:rsidRPr="000F22E2">
        <w:t>roits des personnes handicapées</w:t>
      </w:r>
      <w:r w:rsidR="00F02BAB">
        <w:t> : s</w:t>
      </w:r>
      <w:r>
        <w:t xml:space="preserve">tructure, </w:t>
      </w:r>
      <w:r w:rsidR="00F02BAB">
        <w:t xml:space="preserve">configuration </w:t>
      </w:r>
      <w:r>
        <w:t>des droits</w:t>
      </w:r>
      <w:r w:rsidR="00F02BAB">
        <w:t xml:space="preserve">, mise en place d’un mécanisme de protection </w:t>
      </w:r>
    </w:p>
    <w:p w14:paraId="6B1424DA" w14:textId="77777777" w:rsidR="000F22E2" w:rsidRDefault="000F22E2" w:rsidP="000F22E2"/>
    <w:p w14:paraId="7ED6C2B1" w14:textId="77777777" w:rsidR="00F02BAB" w:rsidRDefault="00F02BAB" w:rsidP="000F22E2">
      <w:r>
        <w:t>4 – La France et la Convention des Nations unies sur les d</w:t>
      </w:r>
      <w:r w:rsidRPr="000F22E2">
        <w:t>roits des personnes handicapées</w:t>
      </w:r>
    </w:p>
    <w:p w14:paraId="0FF7F81D" w14:textId="77777777" w:rsidR="00F02BAB" w:rsidRDefault="00F02BAB" w:rsidP="000F22E2"/>
    <w:p w14:paraId="36F63518" w14:textId="77777777" w:rsidR="00F02BAB" w:rsidRDefault="00F02BAB" w:rsidP="000F22E2">
      <w:r>
        <w:t xml:space="preserve">5 </w:t>
      </w:r>
      <w:r w:rsidR="00263C50">
        <w:t>–</w:t>
      </w:r>
      <w:r>
        <w:t xml:space="preserve"> </w:t>
      </w:r>
      <w:r w:rsidR="00263C50">
        <w:t xml:space="preserve">La première convention régionale sur les droits des personnes handicapées : la Convention </w:t>
      </w:r>
      <w:r w:rsidR="0091325E">
        <w:t xml:space="preserve">africaine du 29 janvier 2018 </w:t>
      </w:r>
    </w:p>
    <w:p w14:paraId="1E5FBB47" w14:textId="77777777" w:rsidR="00F02BAB" w:rsidRDefault="00F02BAB" w:rsidP="000F22E2"/>
    <w:p w14:paraId="59A0594D" w14:textId="77777777" w:rsidR="00F02BAB" w:rsidRDefault="00F02BAB" w:rsidP="000F22E2"/>
    <w:p w14:paraId="778EB5E3" w14:textId="77777777" w:rsidR="00F02BAB" w:rsidRDefault="00F02BAB" w:rsidP="000F22E2"/>
    <w:p w14:paraId="38E4BA47" w14:textId="77777777" w:rsidR="00F02BAB" w:rsidRDefault="00F02BAB" w:rsidP="000F22E2"/>
    <w:p w14:paraId="39CB1687" w14:textId="77777777" w:rsidR="000F22E2" w:rsidRDefault="000F22E2" w:rsidP="000F22E2"/>
    <w:p w14:paraId="3F2BFFA0" w14:textId="77777777" w:rsidR="000F22E2" w:rsidRPr="000F22E2" w:rsidRDefault="000F22E2" w:rsidP="000F22E2"/>
    <w:sectPr w:rsidR="000F22E2" w:rsidRPr="000F22E2" w:rsidSect="00C65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E7B0A"/>
    <w:multiLevelType w:val="hybridMultilevel"/>
    <w:tmpl w:val="8B0CBB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9F"/>
    <w:rsid w:val="000B188A"/>
    <w:rsid w:val="000F22E2"/>
    <w:rsid w:val="00263C50"/>
    <w:rsid w:val="00330103"/>
    <w:rsid w:val="007C3D9F"/>
    <w:rsid w:val="0091325E"/>
    <w:rsid w:val="00A973E1"/>
    <w:rsid w:val="00C65D0A"/>
    <w:rsid w:val="00F0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256F"/>
  <w14:defaultImageDpi w14:val="32767"/>
  <w15:chartTrackingRefBased/>
  <w15:docId w15:val="{0846D714-9829-974C-9DFE-8AE3491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D9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7C3D9F"/>
    <w:pPr>
      <w:tabs>
        <w:tab w:val="right" w:leader="dot" w:pos="9060"/>
      </w:tabs>
      <w:spacing w:before="240" w:after="120"/>
      <w:jc w:val="both"/>
    </w:pPr>
    <w:rPr>
      <w:rFonts w:ascii="Garamond" w:hAnsi="Garamond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7C3D9F"/>
    <w:pPr>
      <w:tabs>
        <w:tab w:val="left" w:pos="1200"/>
        <w:tab w:val="right" w:leader="dot" w:pos="9060"/>
      </w:tabs>
      <w:spacing w:before="120"/>
      <w:ind w:left="240"/>
      <w:jc w:val="both"/>
    </w:pPr>
    <w:rPr>
      <w:rFonts w:ascii="Garamond" w:hAnsi="Garamond"/>
      <w:b/>
      <w:i/>
      <w:iCs/>
      <w:noProof/>
      <w:sz w:val="28"/>
    </w:rPr>
  </w:style>
  <w:style w:type="paragraph" w:styleId="TM4">
    <w:name w:val="toc 4"/>
    <w:basedOn w:val="Normal"/>
    <w:next w:val="Normal"/>
    <w:autoRedefine/>
    <w:uiPriority w:val="39"/>
    <w:rsid w:val="007C3D9F"/>
    <w:pPr>
      <w:tabs>
        <w:tab w:val="left" w:pos="1920"/>
        <w:tab w:val="right" w:leader="dot" w:pos="9060"/>
      </w:tabs>
      <w:ind w:left="720"/>
      <w:jc w:val="both"/>
    </w:pPr>
    <w:rPr>
      <w:rFonts w:ascii="Garamond" w:hAnsi="Garamond"/>
      <w:b/>
      <w:noProof/>
      <w:sz w:val="20"/>
      <w:szCs w:val="20"/>
    </w:rPr>
  </w:style>
  <w:style w:type="paragraph" w:styleId="Pardeliste">
    <w:name w:val="List Paragraph"/>
    <w:basedOn w:val="Normal"/>
    <w:uiPriority w:val="34"/>
    <w:qFormat/>
    <w:rsid w:val="000F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1106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SIFFREIN BLANC Caroline</dc:creator>
  <cp:keywords/>
  <dc:description/>
  <cp:lastModifiedBy>Utilisateur de Microsoft Office</cp:lastModifiedBy>
  <cp:revision>3</cp:revision>
  <dcterms:created xsi:type="dcterms:W3CDTF">2019-04-07T07:32:00Z</dcterms:created>
  <dcterms:modified xsi:type="dcterms:W3CDTF">2019-04-07T07:33:00Z</dcterms:modified>
</cp:coreProperties>
</file>